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3</w:t>
      </w:r>
      <w:r w:rsidR="00EF34DB">
        <w:rPr>
          <w:rFonts w:ascii="Times New Roman" w:hAnsi="Times New Roman" w:cs="Times New Roman"/>
          <w:b/>
          <w:sz w:val="28"/>
        </w:rPr>
        <w:t>23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1319BC">
              <w:rPr>
                <w:szCs w:val="28"/>
              </w:rPr>
      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1319BC">
        <w:rPr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1319BC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DD6FC5">
              <w:rPr>
                <w:rFonts w:ascii="Times New Roman" w:hAnsi="Times New Roman" w:cs="Times New Roman"/>
                <w:b w:val="0"/>
              </w:rPr>
              <w:t>3</w:t>
            </w:r>
            <w:r w:rsidR="00EF34DB">
              <w:rPr>
                <w:rFonts w:ascii="Times New Roman" w:hAnsi="Times New Roman" w:cs="Times New Roman"/>
                <w:b w:val="0"/>
              </w:rPr>
              <w:t>23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1319BC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1319BC">
        <w:rPr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1319BC">
        <w:rPr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1319BC">
        <w:rPr>
          <w:szCs w:val="28"/>
        </w:rPr>
        <w:t>Принятие решения о предоставлении земельного участка, предоставленного для индивидуального жилищного строительства в аренду гражданину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1319BC" w:rsidRDefault="00324869" w:rsidP="00EF34D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1319BC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1319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319BC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1319BC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1319BC">
        <w:rPr>
          <w:rFonts w:ascii="Times New Roman" w:hAnsi="Times New Roman" w:cs="Times New Roman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506EBC" w:rsidRPr="001319BC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учредительные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E16573" w:rsidRPr="00A41BD9" w:rsidRDefault="00E16573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проведение аукциона;</w:t>
      </w:r>
    </w:p>
    <w:p w:rsidR="001319BC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A41BD9" w:rsidRPr="001319BC">
        <w:rPr>
          <w:rFonts w:ascii="Times New Roman" w:hAnsi="Times New Roman" w:cs="Times New Roman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1319BC">
        <w:rPr>
          <w:rFonts w:ascii="Times New Roman" w:hAnsi="Times New Roman" w:cs="Times New Roman"/>
          <w:sz w:val="28"/>
          <w:szCs w:val="28"/>
        </w:rPr>
        <w:t>.</w:t>
      </w:r>
    </w:p>
    <w:p w:rsidR="0055595B" w:rsidRPr="001319BC" w:rsidRDefault="001319B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1319BC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A41BD9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0773D9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>и проведение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 xml:space="preserve">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EF34DB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формирует дело </w:t>
      </w:r>
      <w:r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55595B" w:rsidRPr="001319BC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1319BC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16573" w:rsidRPr="005F7194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 xml:space="preserve">3.3.3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за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 проводит аукцион. Результаты аукциона отражает в протоколе аукционной комиссии.</w:t>
      </w:r>
    </w:p>
    <w:p w:rsidR="00C859BA" w:rsidRPr="001319B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, готовит проект </w:t>
      </w:r>
      <w:r w:rsidR="0064656B" w:rsidRPr="001319BC">
        <w:rPr>
          <w:rFonts w:ascii="Times New Roman" w:hAnsi="Times New Roman" w:cs="Times New Roman"/>
          <w:spacing w:val="4"/>
          <w:sz w:val="28"/>
          <w:szCs w:val="28"/>
        </w:rPr>
        <w:t>постановления</w:t>
      </w:r>
      <w:r w:rsidR="00506EBC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1319BC" w:rsidRPr="001319BC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в аренду гражданину</w:t>
      </w:r>
      <w:r w:rsidR="0064656B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proofErr w:type="gramEnd"/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06EBC" w:rsidRPr="001319BC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 w:rsidRPr="001319BC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1319BC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3.3.7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1319B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D90977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об отказе </w:t>
      </w:r>
      <w:r w:rsidR="00E7392C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E7392C" w:rsidRPr="001319B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Pr="001319B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1319BC"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 w:rsidRPr="001319BC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D90977" w:rsidRPr="001319BC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1319BC">
        <w:rPr>
          <w:rFonts w:ascii="Times New Roman" w:hAnsi="Times New Roman" w:cs="Times New Roman"/>
          <w:spacing w:val="4"/>
          <w:sz w:val="28"/>
          <w:szCs w:val="28"/>
        </w:rPr>
        <w:t>, передает специалисту по делопроизводству и архивной работе Администрации, ответственному за делопроизводство, для отправки его почтой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06EBC" w:rsidRPr="001319BC" w:rsidRDefault="00FD3F7D" w:rsidP="001319B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1319BC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1319B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1319BC" w:rsidRPr="001319BC">
        <w:rPr>
          <w:rFonts w:ascii="Times New Roman" w:hAnsi="Times New Roman" w:cs="Times New Roman"/>
          <w:sz w:val="28"/>
          <w:szCs w:val="28"/>
        </w:rPr>
        <w:t>предоставлении земельного участка, предоставленного для индивидуального жилищного строительства в аренду гражданину</w:t>
      </w:r>
      <w:r w:rsidR="00506EBC" w:rsidRPr="001319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E57A38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E57A38" w:rsidP="00F05C8F">
      <w:pPr>
        <w:rPr>
          <w:rFonts w:ascii="Times New Roman" w:hAnsi="Times New Roman" w:cs="Times New Roman"/>
          <w:sz w:val="28"/>
          <w:szCs w:val="28"/>
        </w:rPr>
      </w:pPr>
      <w:r w:rsidRPr="00E57A3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E57A3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E57A3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E57A3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57A38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E57A3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57A38" w:rsidP="005F7194">
      <w:pPr>
        <w:rPr>
          <w:rFonts w:ascii="Times New Roman" w:hAnsi="Times New Roman" w:cs="Times New Roman"/>
          <w:sz w:val="28"/>
          <w:szCs w:val="28"/>
        </w:rPr>
      </w:pPr>
      <w:r w:rsidRPr="00E57A38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E57A3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E57A38" w:rsidP="005F7194">
      <w:pPr>
        <w:rPr>
          <w:rFonts w:ascii="Times New Roman" w:hAnsi="Times New Roman" w:cs="Times New Roman"/>
          <w:sz w:val="28"/>
          <w:szCs w:val="28"/>
        </w:rPr>
      </w:pPr>
      <w:r w:rsidRPr="00E57A38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E57A3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E57A3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E57A38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FF" w:rsidRDefault="006900FF" w:rsidP="007C7EDB">
      <w:pPr>
        <w:spacing w:after="0" w:line="240" w:lineRule="auto"/>
      </w:pPr>
      <w:r>
        <w:separator/>
      </w:r>
    </w:p>
  </w:endnote>
  <w:endnote w:type="continuationSeparator" w:id="0">
    <w:p w:rsidR="006900FF" w:rsidRDefault="006900FF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FF" w:rsidRDefault="006900FF" w:rsidP="007C7EDB">
      <w:pPr>
        <w:spacing w:after="0" w:line="240" w:lineRule="auto"/>
      </w:pPr>
      <w:r>
        <w:separator/>
      </w:r>
    </w:p>
  </w:footnote>
  <w:footnote w:type="continuationSeparator" w:id="0">
    <w:p w:rsidR="006900FF" w:rsidRDefault="006900FF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319BC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DA2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73E2A"/>
    <w:rsid w:val="00483924"/>
    <w:rsid w:val="00493701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65935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900FF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E459D"/>
    <w:rsid w:val="007F42A7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0FB1"/>
    <w:rsid w:val="00AB72C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00CF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57A38"/>
    <w:rsid w:val="00E61550"/>
    <w:rsid w:val="00E7392C"/>
    <w:rsid w:val="00E8600E"/>
    <w:rsid w:val="00E86CBB"/>
    <w:rsid w:val="00E967CF"/>
    <w:rsid w:val="00EE3190"/>
    <w:rsid w:val="00EE3B92"/>
    <w:rsid w:val="00EF0742"/>
    <w:rsid w:val="00EF34DB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62E6-3950-47E6-802D-A1086413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4707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2013-12-10T10:23:00Z</cp:lastPrinted>
  <dcterms:created xsi:type="dcterms:W3CDTF">2015-09-17T14:32:00Z</dcterms:created>
  <dcterms:modified xsi:type="dcterms:W3CDTF">2015-09-17T14:32:00Z</dcterms:modified>
</cp:coreProperties>
</file>